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3" w:rsidRPr="00805ABE" w:rsidRDefault="00805ABE" w:rsidP="00805ABE">
      <w:pPr>
        <w:shd w:val="clear" w:color="auto" w:fill="FFFFFF"/>
        <w:spacing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>Требования</w:t>
      </w:r>
      <w:r w:rsidR="00E741E3"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 xml:space="preserve"> к предметно-развивающей среде в ДОУ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в детском саду по 6-8</w:t>
      </w:r>
      <w:r w:rsidR="00805ABE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пять дней в неделю.</w:t>
      </w:r>
    </w:p>
    <w:p w:rsidR="00E741E3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время служило активному познавательному и творческому развитию детей дошкольного возраста, среда в детском саду должна быть устроена особым образом и учитывать шесть аспектов, прописанные в ФГОС дошкольного образования.</w:t>
      </w:r>
    </w:p>
    <w:p w:rsidR="000D55C1" w:rsidRPr="00805ABE" w:rsidRDefault="000D55C1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– пространственная среда обеспечивает максимальную реализацию образовательного потенциала пространства группы. Развивающая предметно – пространственная среда должна обеспечивать возможность общения в совместной деятельности детей и взрослых, двигательной активности детей, а также возможности для уединения.</w:t>
      </w:r>
      <w:bookmarkStart w:id="0" w:name="_GoBack"/>
      <w:bookmarkEnd w:id="0"/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Развивающая предметно-пространственная среда должна быть:</w:t>
      </w:r>
    </w:p>
    <w:p w:rsidR="00E741E3" w:rsidRPr="00E741E3" w:rsidRDefault="00E741E3" w:rsidP="00805AB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1E3">
        <w:rPr>
          <w:rFonts w:ascii="MS Gothic" w:eastAsia="MS Gothic" w:hAnsi="MS Gothic" w:cs="MS Gothic" w:hint="eastAsia"/>
          <w:i/>
          <w:sz w:val="28"/>
          <w:szCs w:val="28"/>
          <w:lang w:eastAsia="ru-RU"/>
        </w:rPr>
        <w:t>✔</w:t>
      </w:r>
      <w:r w:rsidRPr="00E741E3">
        <w:rPr>
          <w:rFonts w:ascii="Times New Roman" w:hAnsi="Times New Roman" w:cs="Times New Roman"/>
          <w:i/>
          <w:sz w:val="28"/>
          <w:szCs w:val="28"/>
          <w:lang w:eastAsia="ru-RU"/>
        </w:rPr>
        <w:t>   насыщенной</w:t>
      </w:r>
    </w:p>
    <w:p w:rsidR="00E741E3" w:rsidRPr="00E741E3" w:rsidRDefault="00E741E3" w:rsidP="00805AB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1E3">
        <w:rPr>
          <w:rFonts w:ascii="MS Gothic" w:eastAsia="MS Gothic" w:hAnsi="MS Gothic" w:cs="MS Gothic" w:hint="eastAsia"/>
          <w:i/>
          <w:sz w:val="28"/>
          <w:szCs w:val="28"/>
          <w:lang w:eastAsia="ru-RU"/>
        </w:rPr>
        <w:t>✔</w:t>
      </w:r>
      <w:r w:rsidRPr="00E741E3">
        <w:rPr>
          <w:rFonts w:ascii="Times New Roman" w:hAnsi="Times New Roman" w:cs="Times New Roman"/>
          <w:i/>
          <w:sz w:val="28"/>
          <w:szCs w:val="28"/>
          <w:lang w:eastAsia="ru-RU"/>
        </w:rPr>
        <w:t>   трансформируемой</w:t>
      </w:r>
    </w:p>
    <w:p w:rsidR="00E741E3" w:rsidRPr="00E741E3" w:rsidRDefault="00E741E3" w:rsidP="00805AB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1E3">
        <w:rPr>
          <w:rFonts w:ascii="MS Gothic" w:eastAsia="MS Gothic" w:hAnsi="MS Gothic" w:cs="MS Gothic" w:hint="eastAsia"/>
          <w:i/>
          <w:sz w:val="28"/>
          <w:szCs w:val="28"/>
          <w:lang w:eastAsia="ru-RU"/>
        </w:rPr>
        <w:t>✔</w:t>
      </w:r>
      <w:r w:rsidRPr="00E741E3">
        <w:rPr>
          <w:rFonts w:ascii="Times New Roman" w:hAnsi="Times New Roman" w:cs="Times New Roman"/>
          <w:i/>
          <w:sz w:val="28"/>
          <w:szCs w:val="28"/>
          <w:lang w:eastAsia="ru-RU"/>
        </w:rPr>
        <w:t>   полифункциональной</w:t>
      </w:r>
    </w:p>
    <w:p w:rsidR="00E741E3" w:rsidRPr="00E741E3" w:rsidRDefault="00E741E3" w:rsidP="00805AB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1E3">
        <w:rPr>
          <w:rFonts w:ascii="MS Gothic" w:eastAsia="MS Gothic" w:hAnsi="MS Gothic" w:cs="MS Gothic" w:hint="eastAsia"/>
          <w:i/>
          <w:sz w:val="28"/>
          <w:szCs w:val="28"/>
          <w:lang w:eastAsia="ru-RU"/>
        </w:rPr>
        <w:t>✔</w:t>
      </w:r>
      <w:r w:rsidRPr="00E741E3">
        <w:rPr>
          <w:rFonts w:ascii="Times New Roman" w:hAnsi="Times New Roman" w:cs="Times New Roman"/>
          <w:i/>
          <w:sz w:val="28"/>
          <w:szCs w:val="28"/>
          <w:lang w:eastAsia="ru-RU"/>
        </w:rPr>
        <w:t>   вариативной</w:t>
      </w:r>
    </w:p>
    <w:p w:rsidR="00E741E3" w:rsidRPr="00E741E3" w:rsidRDefault="00E741E3" w:rsidP="00805AB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1E3">
        <w:rPr>
          <w:rFonts w:ascii="MS Gothic" w:eastAsia="MS Gothic" w:hAnsi="MS Gothic" w:cs="MS Gothic" w:hint="eastAsia"/>
          <w:i/>
          <w:sz w:val="28"/>
          <w:szCs w:val="28"/>
          <w:lang w:eastAsia="ru-RU"/>
        </w:rPr>
        <w:t>✔</w:t>
      </w:r>
      <w:r w:rsidRPr="00E741E3">
        <w:rPr>
          <w:rFonts w:ascii="Times New Roman" w:hAnsi="Times New Roman" w:cs="Times New Roman"/>
          <w:i/>
          <w:sz w:val="28"/>
          <w:szCs w:val="28"/>
          <w:lang w:eastAsia="ru-RU"/>
        </w:rPr>
        <w:t>   доступной</w:t>
      </w:r>
    </w:p>
    <w:p w:rsidR="00E741E3" w:rsidRPr="00E741E3" w:rsidRDefault="00E741E3" w:rsidP="00805AB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1E3">
        <w:rPr>
          <w:rFonts w:ascii="MS Gothic" w:eastAsia="MS Gothic" w:hAnsi="MS Gothic" w:cs="MS Gothic" w:hint="eastAsia"/>
          <w:i/>
          <w:sz w:val="28"/>
          <w:szCs w:val="28"/>
          <w:lang w:eastAsia="ru-RU"/>
        </w:rPr>
        <w:t>✔</w:t>
      </w:r>
      <w:r w:rsidRPr="00E741E3">
        <w:rPr>
          <w:rFonts w:ascii="Times New Roman" w:hAnsi="Times New Roman" w:cs="Times New Roman"/>
          <w:i/>
          <w:sz w:val="28"/>
          <w:szCs w:val="28"/>
          <w:lang w:eastAsia="ru-RU"/>
        </w:rPr>
        <w:t>   безопасной</w:t>
      </w:r>
    </w:p>
    <w:p w:rsidR="00E741E3" w:rsidRPr="00E741E3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41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Рассмотрим подробнее, в чем заключается каждая из этих характеристик.</w:t>
      </w:r>
    </w:p>
    <w:p w:rsidR="00E741E3" w:rsidRPr="00E741E3" w:rsidRDefault="00E741E3" w:rsidP="00805ABE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●</w:t>
      </w:r>
      <w:r w:rsidRPr="00E741E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   </w:t>
      </w: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Насыщенность среды</w:t>
      </w:r>
    </w:p>
    <w:p w:rsidR="00DD1DEB" w:rsidRDefault="00DD1DEB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Обогащенная среда предполагает единство социальных и предметных средств обеспечения разнообразной деятельности ребёнка. Предметно-игровая среда обеспечивает удовлетворение потребностей детей в игровой деятельности посредством соответствующего наполнения, отвечающего интересам и склонностям детей.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будет достаточно материалов, которые помогают воспитателю реализовывать педагогические задачи по программе, а детям </w:t>
      </w:r>
      <w:r w:rsidR="00805ABE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гармонично развиваться. </w:t>
      </w:r>
      <w:proofErr w:type="gramStart"/>
      <w:r w:rsidR="00805ABE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(</w:t>
      </w:r>
      <w:hyperlink r:id="rId5" w:tgtFrame="_blank" w:history="1">
        <w:r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мячи</w:t>
        </w:r>
      </w:hyperlink>
      <w:r w:rsidR="00805ABE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обручи), </w:t>
      </w: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наборы для творчества</w:t>
        </w:r>
      </w:hyperlink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tgtFrame="_blank" w:history="1">
        <w:r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материалы для лепки</w:t>
        </w:r>
      </w:hyperlink>
      <w:r w:rsidR="00805ABE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карандаши) и </w:t>
      </w: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игрушки (кубики, </w:t>
      </w:r>
      <w:hyperlink r:id="rId8" w:tgtFrame="_blank" w:history="1">
        <w:r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конструкторы</w:t>
        </w:r>
      </w:hyperlink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материалов, оборудования и инвентаря обеспечивает детям возможность придумывать игры, проявлять творческие способности, много двигаться, развивать крупную и мелкую моторику, удовлетворять познавательные потребности.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делать упор на какую-то одну область: например, закупать в детский сад только оборудование для активных подвижных игр. Стоит учитывать разный темперамент и склонности детей.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важно, чтобы все дети чувствовали себя в саду комфортно и защищенно, обстановка радовала глаз, а новые идеи находили возможности для воплощения.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●   </w:t>
      </w:r>
      <w:proofErr w:type="spellStart"/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Трансформируемость</w:t>
      </w:r>
      <w:proofErr w:type="spellEnd"/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пространства</w:t>
      </w:r>
    </w:p>
    <w:p w:rsidR="00B13CAE" w:rsidRDefault="00B13CA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предполагает возможность изменений предметно-пространственной среды в зависимости от образовательной ситуации (от меняющихся интересов и возможностей детей). Игровое пространство развернутой сюжетно-ролевой игры изменяется в соответствии с сюжетом новой игры-спутника.</w:t>
      </w:r>
    </w:p>
    <w:p w:rsidR="00E741E3" w:rsidRPr="00805ABE" w:rsidRDefault="00B13CA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</w:t>
      </w:r>
      <w:r w:rsidR="00E741E3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педагогу изменять предметно-пространственную среду, чтобы эффективнее решать образовательные задачи. Так, например, для активизации социально-коммуникативных навыков и творческого подхода можно временно убрать готовые </w:t>
      </w:r>
      <w:hyperlink r:id="rId9" w:tgtFrame="_blank" w:history="1">
        <w:r w:rsidR="00E741E3"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наборы для сюжетно-ролевых игр</w:t>
        </w:r>
      </w:hyperlink>
      <w:r w:rsidR="00E741E3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(«Парикмахерская», «Магазин») и предложить детям больше природных материалов (</w:t>
      </w:r>
      <w:hyperlink r:id="rId10" w:history="1">
        <w:r w:rsidR="00E741E3"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глины</w:t>
        </w:r>
      </w:hyperlink>
      <w:r w:rsidR="00E741E3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песка), конструкторов, предметов взрослого мира (шнурки, молнии) в зависимости от их меняющихся интересов.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●   </w:t>
      </w:r>
      <w:proofErr w:type="spellStart"/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Полифункциональность</w:t>
      </w:r>
      <w:proofErr w:type="spellEnd"/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материалов</w:t>
      </w:r>
    </w:p>
    <w:p w:rsidR="00B13CAE" w:rsidRDefault="00B13CA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 </w:t>
      </w:r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модулей, ширм и т.д.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741E3" w:rsidRPr="00805ABE" w:rsidRDefault="00B13CA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proofErr w:type="spellEnd"/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1E3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значает, что материалы, которые находятся в саду, педагог и дети могут использовать сразу в нескольких видах деятельности. Например, прямое назначение </w:t>
      </w:r>
      <w:hyperlink r:id="rId11" w:tgtFrame="_blank" w:history="1">
        <w:r w:rsidR="00E741E3"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кинетического песка</w:t>
        </w:r>
      </w:hyperlink>
      <w:r w:rsidR="00E741E3"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лепить из него куличики. Но это не единственный способ, как можно его применить. Удобно прятать в нем «клады» для ребят, чтобы развивать их мелкую моторику. Или создавать картины на световом столе для развития творчества и речи.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другой пример: </w:t>
      </w:r>
      <w:hyperlink r:id="rId12" w:history="1">
        <w:r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цветной картон</w:t>
        </w:r>
      </w:hyperlink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изначально предназначен для аппликаций, но из него можно делать приспособления для подвижных игр (например, для игры «Светофор», где из картона вырезают цветные сигналы).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●   Вариативность среды</w:t>
      </w:r>
    </w:p>
    <w:p w:rsidR="00B13CAE" w:rsidRDefault="00B13CA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среды предполагает: - наличие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пространств (для игры, конструирования, уединения и пр.), а также разнообразных материалов, игр, </w:t>
      </w:r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игрушек и оборудования,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свободный выбор детей и  </w:t>
      </w:r>
      <w:r w:rsidRPr="00B1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группы нужно обустраивать так, чтобы дети могли свободно выбирать, чем бы они хотели заняться — поиграть, порисовать или просто отдохнуть — и для всего нашелся бы подходящий способ. Поэтому обычно в саду применяют зонирование: в зоне отдыха устанавливают мягкую мебель, в зоне подвижных игр кладут мячики и скакалки. Таким образом, никто никому не мешает, интересы каждого учитываются.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игрушки и материалы для творчества нужно менять: интересоваться новинками, отслеживать современные тенденции, узнавать, что нравится самим детям.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●   Доступность среды</w:t>
      </w:r>
    </w:p>
    <w:p w:rsidR="00B6747E" w:rsidRDefault="00B6747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среды предполагает: - доступность для воспитанников, в том числе детей с ОВЗ и детей-инвалидов, всех помещений Организации, где осуществляется образовательный процесс; -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</w:r>
    </w:p>
    <w:p w:rsidR="00E741E3" w:rsidRPr="00805ABE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хочет рисовать, он точно уверен, что в ящике стола найдет </w:t>
      </w:r>
      <w:hyperlink r:id="rId13" w:tgtFrame="_blank" w:history="1">
        <w:r w:rsidRPr="00805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карандаши</w:t>
        </w:r>
      </w:hyperlink>
      <w:r w:rsidRPr="00805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подставке на столе воспитателя – бумагу. Предметы и материалы, которые используются в игре, творчестве или отдыхе, должны быть доступны и исправны.</w:t>
      </w:r>
    </w:p>
    <w:p w:rsidR="00B13CAE" w:rsidRPr="00DD1DEB" w:rsidRDefault="00E741E3" w:rsidP="00DD1DEB">
      <w:pPr>
        <w:shd w:val="clear" w:color="auto" w:fill="FFFFFF"/>
        <w:spacing w:after="100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805AB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●    Безопасность предметно-пространственной среды</w:t>
      </w:r>
    </w:p>
    <w:p w:rsidR="00B13CAE" w:rsidRDefault="00B13CAE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13C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741E3" w:rsidRPr="00E741E3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41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Мебель, игрушки, материалы для творчества нужно выбирать из натуральных нетоксичных материалов, проверять соблюдение ГОСТов и </w:t>
      </w:r>
      <w:proofErr w:type="spellStart"/>
      <w:r w:rsidRPr="00E741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СанПинов</w:t>
      </w:r>
      <w:proofErr w:type="spellEnd"/>
      <w:r w:rsidRPr="00E741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Игрушки и предметы интерьера не должны быть источником травм, содержать мелкие или острые детали, угрожать безопасности и здоровью детей.</w:t>
      </w:r>
    </w:p>
    <w:p w:rsidR="00E741E3" w:rsidRPr="00E741E3" w:rsidRDefault="00E741E3" w:rsidP="00805ABE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741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выстроенная предметно-развивающая среда в детском саду способствует эффективному взаимодействию между педагогами и детьми, отвечает возрасту и задачам реализуемой программы, отвечает эстетическим требованиям.</w:t>
      </w:r>
    </w:p>
    <w:p w:rsidR="002C52E7" w:rsidRPr="00E741E3" w:rsidRDefault="002C52E7" w:rsidP="00805A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C52E7" w:rsidRPr="00E741E3" w:rsidSect="00805ABE">
      <w:pgSz w:w="11906" w:h="16838"/>
      <w:pgMar w:top="1134" w:right="850" w:bottom="1134" w:left="1701" w:header="708" w:footer="708" w:gutter="0"/>
      <w:pgBorders w:offsetFrom="page">
        <w:top w:val="tornPaperBlack" w:sz="31" w:space="24" w:color="548DD4" w:themeColor="text2" w:themeTint="99"/>
        <w:left w:val="tornPaperBlack" w:sz="31" w:space="24" w:color="548DD4" w:themeColor="text2" w:themeTint="99"/>
        <w:bottom w:val="tornPaperBlack" w:sz="31" w:space="24" w:color="548DD4" w:themeColor="text2" w:themeTint="99"/>
        <w:right w:val="tornPaperBlack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E"/>
    <w:rsid w:val="000D55C1"/>
    <w:rsid w:val="002C52E7"/>
    <w:rsid w:val="00805ABE"/>
    <w:rsid w:val="00B13CAE"/>
    <w:rsid w:val="00B6747E"/>
    <w:rsid w:val="00B825DE"/>
    <w:rsid w:val="00DD1DEB"/>
    <w:rsid w:val="00E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649">
          <w:blockQuote w:val="1"/>
          <w:marLeft w:val="750"/>
          <w:marRight w:val="0"/>
          <w:marTop w:val="225"/>
          <w:marBottom w:val="225"/>
          <w:divBdr>
            <w:top w:val="none" w:sz="0" w:space="0" w:color="auto"/>
            <w:left w:val="single" w:sz="36" w:space="11" w:color="921D7C"/>
            <w:bottom w:val="none" w:sz="0" w:space="0" w:color="auto"/>
            <w:right w:val="none" w:sz="0" w:space="0" w:color="auto"/>
          </w:divBdr>
        </w:div>
        <w:div w:id="390033430">
          <w:marLeft w:val="150"/>
          <w:marRight w:val="150"/>
          <w:marTop w:val="150"/>
          <w:marBottom w:val="150"/>
          <w:divBdr>
            <w:top w:val="single" w:sz="6" w:space="8" w:color="FEDB05"/>
            <w:left w:val="single" w:sz="36" w:space="8" w:color="FEDB05"/>
            <w:bottom w:val="single" w:sz="6" w:space="8" w:color="FEDB05"/>
            <w:right w:val="single" w:sz="6" w:space="8" w:color="FEDB05"/>
          </w:divBdr>
        </w:div>
      </w:divsChild>
    </w:div>
    <w:div w:id="1254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.online/articles/do-pokupki/kompaniya-simbat/" TargetMode="External"/><Relationship Id="rId13" Type="http://schemas.openxmlformats.org/officeDocument/2006/relationships/hyperlink" Target="https://xn--d1au.online/articles/do-pokupki/lu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u.online/articles/do-pokupki/ooo-oleplastika/" TargetMode="External"/><Relationship Id="rId12" Type="http://schemas.openxmlformats.org/officeDocument/2006/relationships/hyperlink" Target="https://hatber.ru/catalog/bumazhnaya_produktsiya/nabory_dlya_tvorchest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u.online/articles/do-pokupki/kompaniya-simbat/" TargetMode="External"/><Relationship Id="rId11" Type="http://schemas.openxmlformats.org/officeDocument/2006/relationships/hyperlink" Target="https://xn--d1au.online/articles/do-pokupki/lori/" TargetMode="External"/><Relationship Id="rId5" Type="http://schemas.openxmlformats.org/officeDocument/2006/relationships/hyperlink" Target="https://xn--d1au.online/articles/do-pokupki/ao-cheboksarskoe-proizvodstvennoe-obedinenie-im-v-i-chapaev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d1au.online/articles/do-pokupki/lu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u.online/articles/do-pokupki/sooo-pp-polese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2021-11-17T06:06:00Z</dcterms:created>
  <dcterms:modified xsi:type="dcterms:W3CDTF">2021-11-17T09:12:00Z</dcterms:modified>
</cp:coreProperties>
</file>